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Olsztynie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 w Budrach, ul. Aleja Wojska Polskiego 18, 11-606 Budry: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Duda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Węgorzewo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Królik-Kopczyk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Grądy Węgorzewskie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Więcki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Harasim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ALTERNATYWA SPOŁECZNA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Jarmoluk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KONFEDERACJA I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Elżbieta Kondrat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Edyta Lebiosz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Brzozówko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Klub Seniora w Budrach, ul. Aleja Wojska Polskiego 18, 11-606 Budry: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Klaudia Kaźmierczak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Grądy Węgorzewskie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Katarzyna Gulczyńska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Biłyj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Popioły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Gierdal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ALTERNATYWA SPOŁECZNA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Węgorzewo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Kowalewska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KONFEDERACJA I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Teresa Laskowska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Węgorzewo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Jadwiga Zubek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Ołowniku, Ołownik 43, 11-606 Budry: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Waszak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Joanna Troczyńska-Kicka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ALTERNATYWA SPOŁECZNA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Ołownik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Kotowicz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Więcki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Lichota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Ołownik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Pawlina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Ołownik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Edyta Pianka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KONFEDERACJA I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Pietrele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Zenona Pyniaha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Warsztaty Terapii Zajęciowej w Olszewie Węgorzewskim, Olszewo Węgorzewskie 41, 11-606 Budry: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Węgorzewo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Bułajewska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Popioły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Harasim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KONFEDERACJA I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Mełech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ALTERNATYWA SPOŁECZNA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Olszewo Węgorzewskie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Nazaruk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Olszewo Węgorzewskie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Bogusława Nazaruk-Głębocka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Olszewo Węgorzewskie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Teresa Prazner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Ołownik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w Sobiechach, Sobiechy 24, 11-606 Budry: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Harasim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KONFEDERACJA I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Irena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Artymowycz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ALTERNATYWA SPOŁECZNA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Banach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Sobiechy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Henryka Godlewska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Węgorzewo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Pawlina-Bielak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Droglewo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Szewiak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Pawłowo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