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1949B297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77D3F422" w14:textId="77777777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A04836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B55169C" w14:textId="77777777" w:rsidR="002A3270" w:rsidRPr="00FF6738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5C730B3A" w:rsidR="007162E7" w:rsidRPr="0043188E" w:rsidRDefault="00591F48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Budry mający siedzibę: Urząd Gminy w Budrach,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Al. Wojska Polskiego 27, 11-606 Budry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43188E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prowadzenia i przetwarzania danych w rejestrze mieszkańców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przechowywanej przez Wójta Gminy Budry 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dokumentacji pisemnej;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2D1CF5" w14:textId="61D9FFD2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00-060) przy</w:t>
            </w:r>
            <w:r w:rsidR="00591F48">
              <w:rPr>
                <w:rFonts w:ascii="Arial" w:hAnsi="Arial" w:cs="Arial"/>
                <w:sz w:val="18"/>
                <w:szCs w:val="18"/>
              </w:rPr>
              <w:br/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BCB8A6" w14:textId="661F10DD" w:rsidR="005D6F23" w:rsidRPr="009D57A8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392BFB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6FF861E" w14:textId="401AB246" w:rsidR="009C403E" w:rsidRDefault="00591F48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Wójtem Gminy Budry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 miasta </w:t>
            </w:r>
            <w:r w:rsidR="0044172A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poprzez adres email</w:t>
            </w:r>
            <w:r w:rsidR="009C40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403E" w:rsidRPr="009C403E">
              <w:rPr>
                <w:rFonts w:ascii="Arial" w:hAnsi="Arial" w:cs="Arial"/>
                <w:sz w:val="18"/>
                <w:szCs w:val="18"/>
              </w:rPr>
              <w:t>inspektor@budry.pl</w:t>
            </w:r>
          </w:p>
          <w:p w14:paraId="01364662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A36C637" w14:textId="43D84ED9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r w:rsidR="00445810" w:rsidRPr="009C403E">
              <w:rPr>
                <w:rStyle w:val="Hipercze"/>
                <w:rFonts w:ascii="Arial" w:hAnsi="Arial" w:cs="Arial"/>
                <w:sz w:val="18"/>
                <w:szCs w:val="18"/>
              </w:rPr>
              <w:t>https://www.gov.pl/cyfryzacja/kontakt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25EF0B1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77777777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5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6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F98E54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4713145" w14:textId="54F60B79" w:rsidR="0044172A" w:rsidRDefault="00591F48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Budry </w:t>
            </w:r>
            <w:r w:rsidR="0044172A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="009C403E">
              <w:rPr>
                <w:rStyle w:val="Hipercze"/>
                <w:rFonts w:ascii="Times New Roman" w:hAnsi="Times New Roman"/>
              </w:rPr>
              <w:t xml:space="preserve"> </w:t>
            </w:r>
            <w:r w:rsidR="009C403E" w:rsidRPr="009C403E">
              <w:rPr>
                <w:rStyle w:val="Hipercze"/>
                <w:rFonts w:ascii="Times New Roman" w:hAnsi="Times New Roman"/>
              </w:rPr>
              <w:t>inspektor@budry.pl</w:t>
            </w:r>
          </w:p>
          <w:p w14:paraId="557BD7D7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440A7" w14:textId="6057254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3010F93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7ABF4A1F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0A3E0DE1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57DD823C" w14:textId="71F61EA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14:paraId="67DA24D1" w14:textId="0D20E92B" w:rsidR="00CE4C32" w:rsidRPr="0043188E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rzez </w:t>
            </w:r>
            <w:r w:rsidR="00591F48"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 Gminy Budry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w celu wprowadzenia Pani/Pana danych do rejestru PESEL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udostępniania z niego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prowadzenia rejestru mieszkańców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na podstawie art. 6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a, art. 10, art.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 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art. 50 ust. 1 pkt 2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ewidencji ludności</w:t>
            </w:r>
          </w:p>
          <w:p w14:paraId="36C34AC8" w14:textId="16A2B4D7" w:rsidR="007A4048" w:rsidRPr="003C785B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Ministra Cyfryzacji i Ministra Spraw Wewnętrznych i Administracji – w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celu prowadzenia ewidencji ludności 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terenie Rzeczypospolitej Polskiej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 art. 2, art.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ust. 3 i 4 oraz art. 6 ust. 2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ustawy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B3E2F5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4E01FB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D3EE4F4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20E258B5" w14:textId="723B2D16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 r.</w:t>
            </w:r>
          </w:p>
          <w:p w14:paraId="2671D92B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14:paraId="6C01C3D8" w14:textId="77777777" w:rsidR="00BC4C4F" w:rsidRDefault="00BC4C4F" w:rsidP="00BC4C4F">
            <w:pPr>
              <w:pStyle w:val="Default"/>
            </w:pPr>
          </w:p>
          <w:p w14:paraId="6F659CDC" w14:textId="0DC5D2B0" w:rsidR="00E57437" w:rsidRPr="00BC4C4F" w:rsidRDefault="00BC4C4F" w:rsidP="002F6B02">
            <w:pPr>
              <w:pStyle w:val="Akapitzlist"/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C4C4F">
              <w:rPr>
                <w:rFonts w:ascii="Times New Roman" w:hAnsi="Times New Roman" w:cs="Times New Roman"/>
              </w:rPr>
              <w:t xml:space="preserve"> ZETO SOFTWARE Sp. z o.o.), z siedzibą w: 10-005 Olsztyn, ul. Pieniężnego 6/7</w:t>
            </w:r>
            <w:r w:rsidRPr="00BC4C4F">
              <w:rPr>
                <w:sz w:val="20"/>
                <w:szCs w:val="20"/>
              </w:rPr>
              <w:t xml:space="preserve">, </w:t>
            </w:r>
            <w:r w:rsidR="007A4048" w:rsidRPr="00BC4C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mieszkańców </w:t>
            </w:r>
          </w:p>
          <w:p w14:paraId="283F918B" w14:textId="2EED065E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9BF5172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A454FD" w14:textId="266746C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5A5D27D4" w14:textId="6A972D4B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zgody Pani /Pana zgody;</w:t>
            </w:r>
          </w:p>
          <w:p w14:paraId="42CDD984" w14:textId="44B1933A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0502BF9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EB3BF68" w14:textId="36159832" w:rsidR="000C4FF8" w:rsidRPr="0043188E" w:rsidRDefault="00591F4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 Gminy Budry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10C2CB5B" w14:textId="6B69F102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289968A" w14:textId="09261FE8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imieniu Ministra dane udostępnia podmiotom wskazanym powyżej w pkt 1-3 w 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C001BFB" w14:textId="26FEAD40" w:rsidR="00B20F27" w:rsidRPr="0043188E" w:rsidRDefault="00591F48" w:rsidP="00591F4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Wójt Gminy Budry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ludności i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an/Pani stroną lub uczestnikiem w trybie udostępnienia akt tych postępowań.</w:t>
            </w:r>
          </w:p>
        </w:tc>
      </w:tr>
      <w:tr w:rsidR="002A3270" w:rsidRPr="00FF6738" w14:paraId="50B5118E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3A8EA0B7" w14:textId="1C19048F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13492E72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</w:t>
            </w:r>
            <w:r w:rsidR="00591F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r. </w:t>
            </w:r>
            <w:hyperlink r:id="rId8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79FFE9" w14:textId="5B768318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195B5009" w14:textId="6E04D686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076BE176" w14:textId="78D32970" w:rsidR="00BE7E52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</w:tc>
      </w:tr>
      <w:tr w:rsidR="002A3270" w:rsidRPr="00FF6738" w14:paraId="00E1F30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443A0516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FF6738" w14:paraId="28C886F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9C403E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9C403E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63944321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49E02A65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7C743A0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727A3048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549B2E38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6049021E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6BE328B0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03BD8F02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28DFE5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C61EC92" w14:textId="6A9BB185" w:rsidR="003C785B" w:rsidRPr="0043188E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</w:tc>
      </w:tr>
    </w:tbl>
    <w:p w14:paraId="1A23FDD8" w14:textId="77777777" w:rsidR="00630ECD" w:rsidRDefault="00630ECD"/>
    <w:sectPr w:rsidR="00630ECD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C4FF8"/>
    <w:rsid w:val="000C607B"/>
    <w:rsid w:val="000D7E17"/>
    <w:rsid w:val="0013206B"/>
    <w:rsid w:val="001405D8"/>
    <w:rsid w:val="00142043"/>
    <w:rsid w:val="00151C6C"/>
    <w:rsid w:val="0015423E"/>
    <w:rsid w:val="00182545"/>
    <w:rsid w:val="001974D5"/>
    <w:rsid w:val="001D07CD"/>
    <w:rsid w:val="001D0998"/>
    <w:rsid w:val="001E4BDF"/>
    <w:rsid w:val="002109E1"/>
    <w:rsid w:val="00210ED2"/>
    <w:rsid w:val="00277DDF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524A65"/>
    <w:rsid w:val="00541C72"/>
    <w:rsid w:val="00550BC5"/>
    <w:rsid w:val="00567FB1"/>
    <w:rsid w:val="005764C9"/>
    <w:rsid w:val="00576C1E"/>
    <w:rsid w:val="00586622"/>
    <w:rsid w:val="00591F48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03E"/>
    <w:rsid w:val="009C4701"/>
    <w:rsid w:val="009D57A8"/>
    <w:rsid w:val="00A62BE2"/>
    <w:rsid w:val="00A67ED8"/>
    <w:rsid w:val="00A858BA"/>
    <w:rsid w:val="00A9554D"/>
    <w:rsid w:val="00B01388"/>
    <w:rsid w:val="00B0625F"/>
    <w:rsid w:val="00B20F27"/>
    <w:rsid w:val="00B66321"/>
    <w:rsid w:val="00BA2176"/>
    <w:rsid w:val="00BB47B1"/>
    <w:rsid w:val="00BC4C4F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2AF"/>
    <w:rsid w:val="00D84F2D"/>
    <w:rsid w:val="00D914A8"/>
    <w:rsid w:val="00DD73AA"/>
    <w:rsid w:val="00DE614F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BC4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rgyydimztgm3d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mswia/formularz-kontaktow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od@mswia.gov.pl" TargetMode="External"/><Relationship Id="rId10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Urząd Gminy w Budrach</cp:lastModifiedBy>
  <cp:revision>4</cp:revision>
  <cp:lastPrinted>2019-07-03T08:08:00Z</cp:lastPrinted>
  <dcterms:created xsi:type="dcterms:W3CDTF">2019-07-03T08:08:00Z</dcterms:created>
  <dcterms:modified xsi:type="dcterms:W3CDTF">2021-04-06T06:15:00Z</dcterms:modified>
</cp:coreProperties>
</file>