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B778" w14:textId="51CC90E8" w:rsidR="00A80BB4" w:rsidRPr="00836623" w:rsidRDefault="00A80BB4" w:rsidP="00836623">
      <w:pPr>
        <w:spacing w:after="20" w:line="276" w:lineRule="auto"/>
        <w:ind w:left="6096" w:right="33"/>
        <w:rPr>
          <w:sz w:val="20"/>
          <w:szCs w:val="20"/>
        </w:rPr>
      </w:pPr>
      <w:r w:rsidRPr="00836623">
        <w:rPr>
          <w:sz w:val="20"/>
          <w:szCs w:val="20"/>
        </w:rPr>
        <w:t xml:space="preserve">Załącznik nr 2 do Zarządzenia </w:t>
      </w:r>
      <w:r w:rsidR="00836623">
        <w:rPr>
          <w:sz w:val="20"/>
          <w:szCs w:val="20"/>
        </w:rPr>
        <w:t>N</w:t>
      </w:r>
      <w:r w:rsidRPr="00836623">
        <w:rPr>
          <w:sz w:val="20"/>
          <w:szCs w:val="20"/>
        </w:rPr>
        <w:t>r</w:t>
      </w:r>
      <w:r w:rsidR="00836623">
        <w:rPr>
          <w:sz w:val="20"/>
          <w:szCs w:val="20"/>
        </w:rPr>
        <w:t> </w:t>
      </w:r>
      <w:r w:rsidRPr="00836623">
        <w:rPr>
          <w:sz w:val="20"/>
          <w:szCs w:val="20"/>
        </w:rPr>
        <w:t>20/2025 Wójta Gminy Budry z</w:t>
      </w:r>
      <w:r w:rsidR="00836623">
        <w:rPr>
          <w:sz w:val="20"/>
          <w:szCs w:val="20"/>
        </w:rPr>
        <w:t> </w:t>
      </w:r>
      <w:r w:rsidRPr="00836623">
        <w:rPr>
          <w:sz w:val="20"/>
          <w:szCs w:val="20"/>
        </w:rPr>
        <w:t>dnia 28 lutego 2025 r.</w:t>
      </w:r>
    </w:p>
    <w:p w14:paraId="0E59578E" w14:textId="77777777" w:rsidR="00A80BB4" w:rsidRPr="00135412" w:rsidRDefault="00A80BB4" w:rsidP="00A80BB4">
      <w:pPr>
        <w:spacing w:after="20" w:line="276" w:lineRule="auto"/>
        <w:ind w:left="6998" w:right="33" w:hanging="1176"/>
        <w:rPr>
          <w:sz w:val="22"/>
        </w:rPr>
      </w:pPr>
    </w:p>
    <w:p w14:paraId="148097B7" w14:textId="0E096D69" w:rsidR="00A80BB4" w:rsidRPr="00836623" w:rsidRDefault="00A80BB4" w:rsidP="00836623">
      <w:pPr>
        <w:jc w:val="center"/>
        <w:rPr>
          <w:b/>
          <w:bCs/>
          <w:sz w:val="22"/>
          <w:szCs w:val="20"/>
        </w:rPr>
      </w:pPr>
      <w:r w:rsidRPr="00836623">
        <w:rPr>
          <w:b/>
          <w:bCs/>
          <w:sz w:val="22"/>
          <w:szCs w:val="20"/>
        </w:rPr>
        <w:t xml:space="preserve">METODY WYCENY AKTYWÓW </w:t>
      </w:r>
      <w:r w:rsidR="00836623">
        <w:rPr>
          <w:b/>
          <w:bCs/>
          <w:sz w:val="22"/>
          <w:szCs w:val="20"/>
        </w:rPr>
        <w:t>I</w:t>
      </w:r>
      <w:r w:rsidRPr="00836623">
        <w:rPr>
          <w:b/>
          <w:bCs/>
          <w:sz w:val="22"/>
          <w:szCs w:val="20"/>
        </w:rPr>
        <w:t xml:space="preserve"> PASYWÓW</w:t>
      </w:r>
    </w:p>
    <w:p w14:paraId="2448F2A4" w14:textId="77777777" w:rsidR="00A80BB4" w:rsidRPr="00135412" w:rsidRDefault="00A80BB4" w:rsidP="00836623">
      <w:pPr>
        <w:spacing w:before="240" w:after="0" w:line="276" w:lineRule="auto"/>
        <w:ind w:left="14" w:right="14" w:firstLine="412"/>
        <w:rPr>
          <w:sz w:val="22"/>
        </w:rPr>
      </w:pPr>
      <w:r w:rsidRPr="00135412">
        <w:rPr>
          <w:sz w:val="22"/>
        </w:rPr>
        <w:t>Aktywa i pasywa PKZP wycenia się według zasad określonych w ustawie o rachunkowości oraz w przepisach szczególnych wydanych na podstawie ustawy o finansach publicznych według niżej przedstawionych zasad. Środki pieniężne na rachunku bankowym ujmowane są w wartości nominalnej i wycenia się je według wartości nominalnej.</w:t>
      </w:r>
    </w:p>
    <w:p w14:paraId="1D914909" w14:textId="77777777" w:rsidR="00A80BB4" w:rsidRPr="00135412" w:rsidRDefault="00A80BB4" w:rsidP="00836623">
      <w:pPr>
        <w:spacing w:before="240" w:after="348" w:line="276" w:lineRule="auto"/>
        <w:ind w:left="14" w:right="14" w:firstLine="412"/>
        <w:rPr>
          <w:sz w:val="22"/>
        </w:rPr>
      </w:pPr>
      <w:r w:rsidRPr="00135412">
        <w:rPr>
          <w:sz w:val="22"/>
        </w:rPr>
        <w:t>Należności krótkoterminowe to należności o terminie spłaty krótszym od jednego roku od dnia bilansowego. Wycenianie się w wartości nominalnej. Należności długoterminowe to należności, których termin spłaty przypada w okresie dłuższym niż rok od dnia bilansowego. Wycenia się je w kwocie wymagalnej zapłaty.</w:t>
      </w:r>
    </w:p>
    <w:p w14:paraId="49649C4B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4"/>
    <w:rsid w:val="00012584"/>
    <w:rsid w:val="00836623"/>
    <w:rsid w:val="008B1C14"/>
    <w:rsid w:val="008D68D5"/>
    <w:rsid w:val="00A80BB4"/>
    <w:rsid w:val="00CC04E8"/>
    <w:rsid w:val="00CC5264"/>
    <w:rsid w:val="00D9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D25C"/>
  <w15:chartTrackingRefBased/>
  <w15:docId w15:val="{F172C1D4-27A2-4887-84E7-35C6226F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BB4"/>
    <w:pPr>
      <w:spacing w:after="6" w:line="249" w:lineRule="auto"/>
      <w:ind w:left="317" w:right="77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5264"/>
    <w:pPr>
      <w:keepNext/>
      <w:keepLines/>
      <w:spacing w:before="360" w:after="80" w:line="259" w:lineRule="auto"/>
      <w:ind w:left="0" w:righ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5264"/>
    <w:pPr>
      <w:keepNext/>
      <w:keepLines/>
      <w:spacing w:before="160" w:after="80" w:line="259" w:lineRule="auto"/>
      <w:ind w:left="0" w:righ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5264"/>
    <w:pPr>
      <w:keepNext/>
      <w:keepLines/>
      <w:spacing w:before="160" w:after="80" w:line="259" w:lineRule="auto"/>
      <w:ind w:left="0" w:righ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5264"/>
    <w:pPr>
      <w:keepNext/>
      <w:keepLines/>
      <w:spacing w:before="80" w:after="40" w:line="259" w:lineRule="auto"/>
      <w:ind w:left="0" w:righ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lang w:eastAsia="en-US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5264"/>
    <w:pPr>
      <w:keepNext/>
      <w:keepLines/>
      <w:spacing w:before="80" w:after="40" w:line="259" w:lineRule="auto"/>
      <w:ind w:left="0" w:righ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lang w:eastAsia="en-US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5264"/>
    <w:pPr>
      <w:keepNext/>
      <w:keepLines/>
      <w:spacing w:before="40" w:after="0" w:line="259" w:lineRule="auto"/>
      <w:ind w:left="0" w:righ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lang w:eastAsia="en-US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5264"/>
    <w:pPr>
      <w:keepNext/>
      <w:keepLines/>
      <w:spacing w:before="40" w:after="0" w:line="259" w:lineRule="auto"/>
      <w:ind w:left="0" w:righ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lang w:eastAsia="en-US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5264"/>
    <w:pPr>
      <w:keepNext/>
      <w:keepLines/>
      <w:spacing w:after="0" w:line="259" w:lineRule="auto"/>
      <w:ind w:left="0" w:righ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lang w:eastAsia="en-US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5264"/>
    <w:pPr>
      <w:keepNext/>
      <w:keepLines/>
      <w:spacing w:after="0" w:line="259" w:lineRule="auto"/>
      <w:ind w:left="0" w:righ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lang w:eastAsia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526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526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526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5264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5264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526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526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526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526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CC5264"/>
    <w:pPr>
      <w:spacing w:after="80" w:line="240" w:lineRule="auto"/>
      <w:ind w:left="0" w:right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CC526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5264"/>
    <w:pPr>
      <w:numPr>
        <w:ilvl w:val="1"/>
      </w:numPr>
      <w:spacing w:after="160" w:line="259" w:lineRule="auto"/>
      <w:ind w:left="317"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CC526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CC5264"/>
    <w:pPr>
      <w:spacing w:before="160" w:after="160" w:line="259" w:lineRule="auto"/>
      <w:ind w:left="0" w:right="0"/>
      <w:jc w:val="center"/>
    </w:pPr>
    <w:rPr>
      <w:rFonts w:eastAsiaTheme="minorHAnsi" w:cstheme="minorBidi"/>
      <w:i/>
      <w:iCs/>
      <w:color w:val="404040" w:themeColor="text1" w:themeTint="BF"/>
      <w:kern w:val="0"/>
      <w:lang w:eastAsia="en-US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CC5264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CC5264"/>
    <w:pPr>
      <w:spacing w:after="160" w:line="259" w:lineRule="auto"/>
      <w:ind w:left="720" w:right="0"/>
      <w:contextualSpacing/>
      <w:jc w:val="left"/>
    </w:pPr>
    <w:rPr>
      <w:rFonts w:eastAsiaTheme="minorHAnsi" w:cstheme="minorBidi"/>
      <w:color w:val="auto"/>
      <w:kern w:val="0"/>
      <w:lang w:eastAsia="en-US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CC52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5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0"/>
      <w:lang w:eastAsia="en-US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5264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CC5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640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3</cp:revision>
  <dcterms:created xsi:type="dcterms:W3CDTF">2025-03-05T07:39:00Z</dcterms:created>
  <dcterms:modified xsi:type="dcterms:W3CDTF">2025-03-05T07:51:00Z</dcterms:modified>
</cp:coreProperties>
</file>