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8F2D" w14:textId="4A0AAFA7" w:rsidR="00575146" w:rsidRDefault="00575146" w:rsidP="00FF73A6">
      <w:pPr>
        <w:spacing w:after="20" w:line="276" w:lineRule="auto"/>
        <w:ind w:left="6237" w:right="33"/>
        <w:jc w:val="left"/>
        <w:rPr>
          <w:sz w:val="20"/>
          <w:szCs w:val="20"/>
        </w:rPr>
      </w:pPr>
      <w:r w:rsidRPr="00FF73A6">
        <w:rPr>
          <w:sz w:val="20"/>
          <w:szCs w:val="20"/>
        </w:rPr>
        <w:t>Załącznik nr 1 do Zarządzenia Nr</w:t>
      </w:r>
      <w:r w:rsidR="00FF73A6">
        <w:rPr>
          <w:sz w:val="20"/>
          <w:szCs w:val="20"/>
        </w:rPr>
        <w:t> </w:t>
      </w:r>
      <w:r w:rsidRPr="00FF73A6">
        <w:rPr>
          <w:sz w:val="20"/>
          <w:szCs w:val="20"/>
        </w:rPr>
        <w:t>20/2025 Wójta Gminy Budry z</w:t>
      </w:r>
      <w:r w:rsidR="00FF73A6">
        <w:rPr>
          <w:sz w:val="20"/>
          <w:szCs w:val="20"/>
        </w:rPr>
        <w:t> </w:t>
      </w:r>
      <w:r w:rsidRPr="00FF73A6">
        <w:rPr>
          <w:sz w:val="20"/>
          <w:szCs w:val="20"/>
        </w:rPr>
        <w:t>dnia 28 lutego 2025 r.</w:t>
      </w:r>
    </w:p>
    <w:p w14:paraId="0907F1CA" w14:textId="77777777" w:rsidR="00FF73A6" w:rsidRPr="00FF73A6" w:rsidRDefault="00FF73A6" w:rsidP="00FF73A6">
      <w:pPr>
        <w:spacing w:after="20" w:line="276" w:lineRule="auto"/>
        <w:ind w:left="6237" w:right="33"/>
        <w:jc w:val="left"/>
        <w:rPr>
          <w:sz w:val="20"/>
          <w:szCs w:val="20"/>
        </w:rPr>
      </w:pPr>
    </w:p>
    <w:p w14:paraId="392E7D07" w14:textId="77777777" w:rsidR="00575146" w:rsidRPr="00FF73A6" w:rsidRDefault="00575146" w:rsidP="00575146">
      <w:pPr>
        <w:spacing w:after="20" w:line="276" w:lineRule="auto"/>
        <w:ind w:left="6998" w:right="33" w:hanging="1176"/>
        <w:rPr>
          <w:b/>
          <w:bCs/>
          <w:sz w:val="22"/>
        </w:rPr>
      </w:pPr>
    </w:p>
    <w:p w14:paraId="477F3A8D" w14:textId="77777777" w:rsidR="00575146" w:rsidRPr="00FF73A6" w:rsidRDefault="00575146" w:rsidP="00575146">
      <w:pPr>
        <w:spacing w:after="229" w:line="276" w:lineRule="auto"/>
        <w:ind w:left="216" w:right="216" w:hanging="10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ZASADY PROWADZENIA KSIĄG RACHUNKOWYCH</w:t>
      </w:r>
    </w:p>
    <w:p w14:paraId="76F61839" w14:textId="77777777" w:rsidR="00575146" w:rsidRPr="00FF73A6" w:rsidRDefault="00575146" w:rsidP="00575146">
      <w:pPr>
        <w:spacing w:after="0" w:line="276" w:lineRule="auto"/>
        <w:ind w:left="24" w:right="38" w:hanging="10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Rozdział I</w:t>
      </w:r>
    </w:p>
    <w:p w14:paraId="5A0C3D37" w14:textId="77777777" w:rsidR="00575146" w:rsidRPr="00FF73A6" w:rsidRDefault="00575146" w:rsidP="00575146">
      <w:pPr>
        <w:spacing w:after="245" w:line="276" w:lineRule="auto"/>
        <w:ind w:left="24" w:right="34" w:hanging="10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Ogólne zasady prowadzenia ksiąg rachunkowych</w:t>
      </w:r>
    </w:p>
    <w:p w14:paraId="22954039" w14:textId="77777777" w:rsidR="00575146" w:rsidRPr="00135412" w:rsidRDefault="00575146" w:rsidP="00FF73A6">
      <w:pPr>
        <w:spacing w:after="0" w:line="276" w:lineRule="auto"/>
        <w:ind w:left="14" w:right="14"/>
        <w:rPr>
          <w:sz w:val="22"/>
        </w:rPr>
      </w:pPr>
      <w:r w:rsidRPr="00135412">
        <w:rPr>
          <w:sz w:val="22"/>
        </w:rPr>
        <w:t>Księgi rachunkowe Pracowniczej Kasy Zapomogowo-pożyczkowej przy Urzędzie Gminy w Budrach prowadzone są w siedzibie Urzędu Gminy Budry, ul. Aleja Wojska Polskiego 27, 11-606 Budry zgodnie z przyjętym zakładowym planem kont.</w:t>
      </w:r>
    </w:p>
    <w:p w14:paraId="52CD8AFF" w14:textId="77777777" w:rsidR="00575146" w:rsidRPr="00135412" w:rsidRDefault="00575146" w:rsidP="00FF73A6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>Zapisy w księgach rachunkowych prowadzi się w języku i walucie polskiej z datą wystawienia dokumentu, na podstawie prawidłowych i rzetelnych dowodów.</w:t>
      </w:r>
    </w:p>
    <w:p w14:paraId="325A2CA2" w14:textId="77777777" w:rsidR="00575146" w:rsidRPr="00135412" w:rsidRDefault="00575146" w:rsidP="00FF73A6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>Za rok obrotowy uważa się okres od 1 stycznia do 31 grudnia w każdym roku kalendarzowym.</w:t>
      </w:r>
    </w:p>
    <w:p w14:paraId="486F0E14" w14:textId="77777777" w:rsidR="00575146" w:rsidRPr="00135412" w:rsidRDefault="00575146" w:rsidP="00FF73A6">
      <w:pPr>
        <w:spacing w:before="240" w:line="276" w:lineRule="auto"/>
        <w:ind w:left="0"/>
        <w:rPr>
          <w:sz w:val="22"/>
        </w:rPr>
      </w:pPr>
      <w:r w:rsidRPr="00135412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2EC4BBED" wp14:editId="4C6A32B6">
            <wp:simplePos x="0" y="0"/>
            <wp:positionH relativeFrom="page">
              <wp:posOffset>219456</wp:posOffset>
            </wp:positionH>
            <wp:positionV relativeFrom="page">
              <wp:posOffset>6204449</wp:posOffset>
            </wp:positionV>
            <wp:extent cx="12192" cy="15244"/>
            <wp:effectExtent l="0" t="0" r="0" b="0"/>
            <wp:wrapSquare wrapText="bothSides"/>
            <wp:docPr id="3993" name="Picture 3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" name="Picture 39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412">
        <w:rPr>
          <w:sz w:val="22"/>
        </w:rPr>
        <w:t>Sprawozdanie finansowe sporządza się zgodnie z § 45 ust. 1 ustawy z dnia 29 września 1994 r. o rachunkowości (Dz. U. z 2023 r. poz. 120 ze zm.) Ostateczne zamknięcie ksiąg rachunkowych następuje na dzień kończący rok obrotowy, nie później niż w ciągu trzech miesięcy od dnia zamknięcia roku obrotowego.</w:t>
      </w:r>
    </w:p>
    <w:p w14:paraId="677BFD30" w14:textId="77777777" w:rsidR="00575146" w:rsidRPr="00135412" w:rsidRDefault="00575146" w:rsidP="00FF73A6">
      <w:pPr>
        <w:spacing w:after="0" w:line="276" w:lineRule="auto"/>
        <w:ind w:left="0" w:right="14"/>
        <w:rPr>
          <w:sz w:val="22"/>
        </w:rPr>
      </w:pPr>
      <w:r w:rsidRPr="00135412">
        <w:rPr>
          <w:sz w:val="22"/>
        </w:rPr>
        <w:t xml:space="preserve">W przypadku zakończenia działalności statutowej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— sprawozdanie finansowe sporządza się na dzień zakończenia działalności.</w:t>
      </w:r>
    </w:p>
    <w:p w14:paraId="1AAD182B" w14:textId="77777777" w:rsidR="00575146" w:rsidRPr="00135412" w:rsidRDefault="00575146" w:rsidP="00FF73A6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Nie sporządza się rachunku zysku i strat, ponieważ w księgach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nie występują operacje generujące koszty i przychody oraz zyski i straty kształtujące wynik finansowy.</w:t>
      </w:r>
    </w:p>
    <w:p w14:paraId="7D84FB84" w14:textId="77777777" w:rsidR="00575146" w:rsidRPr="00135412" w:rsidRDefault="00575146" w:rsidP="00FF73A6">
      <w:pPr>
        <w:spacing w:before="240" w:line="276" w:lineRule="auto"/>
        <w:ind w:left="0" w:right="14"/>
        <w:rPr>
          <w:sz w:val="22"/>
        </w:rPr>
      </w:pPr>
      <w:r w:rsidRPr="00135412">
        <w:rPr>
          <w:sz w:val="22"/>
        </w:rPr>
        <w:t xml:space="preserve">1. Roczne sprawozdanie finansowe, sporządzone według zasad rachunkowości, podpisują: </w:t>
      </w:r>
    </w:p>
    <w:p w14:paraId="71B1E53F" w14:textId="77777777" w:rsidR="00575146" w:rsidRPr="00135412" w:rsidRDefault="00575146" w:rsidP="00FF73A6">
      <w:pPr>
        <w:spacing w:line="276" w:lineRule="auto"/>
        <w:ind w:left="0" w:right="14" w:firstLine="365"/>
        <w:rPr>
          <w:sz w:val="22"/>
        </w:rPr>
      </w:pPr>
      <w:r w:rsidRPr="00135412">
        <w:rPr>
          <w:sz w:val="22"/>
        </w:rPr>
        <w:t xml:space="preserve">- Zarząd </w:t>
      </w:r>
      <w:proofErr w:type="spellStart"/>
      <w:r w:rsidRPr="00135412">
        <w:rPr>
          <w:sz w:val="22"/>
        </w:rPr>
        <w:t>PKZP</w:t>
      </w:r>
      <w:proofErr w:type="spellEnd"/>
    </w:p>
    <w:p w14:paraId="50B48A1C" w14:textId="77777777" w:rsidR="00575146" w:rsidRPr="00135412" w:rsidRDefault="00575146" w:rsidP="00FF73A6">
      <w:pPr>
        <w:spacing w:line="276" w:lineRule="auto"/>
        <w:ind w:left="0" w:right="14" w:firstLine="365"/>
        <w:rPr>
          <w:sz w:val="22"/>
        </w:rPr>
      </w:pPr>
      <w:r w:rsidRPr="00135412">
        <w:rPr>
          <w:sz w:val="22"/>
        </w:rPr>
        <w:t xml:space="preserve">- Komisja rewizyjna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— po przeprowadzeniu kontroli działalności finansowej </w:t>
      </w:r>
      <w:proofErr w:type="spellStart"/>
      <w:r w:rsidRPr="00135412">
        <w:rPr>
          <w:sz w:val="22"/>
        </w:rPr>
        <w:t>PKZP</w:t>
      </w:r>
      <w:proofErr w:type="spellEnd"/>
    </w:p>
    <w:p w14:paraId="3923477D" w14:textId="77777777" w:rsidR="00575146" w:rsidRPr="00135412" w:rsidRDefault="00575146" w:rsidP="00FF73A6">
      <w:pPr>
        <w:spacing w:line="276" w:lineRule="auto"/>
        <w:ind w:left="0" w:right="14"/>
        <w:rPr>
          <w:sz w:val="22"/>
        </w:rPr>
      </w:pPr>
      <w:r w:rsidRPr="00135412">
        <w:rPr>
          <w:sz w:val="22"/>
        </w:rPr>
        <w:t xml:space="preserve">2. Protokoły z kontroli działalności finansowej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, sporządzone przez komisję rewizyjną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oraz z przeprowadzonej inwentaryzacji rocznej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dołącza się do rocznego sprawozdania finansowej.</w:t>
      </w:r>
    </w:p>
    <w:p w14:paraId="197A4ECB" w14:textId="77777777" w:rsidR="00575146" w:rsidRPr="00135412" w:rsidRDefault="00575146" w:rsidP="00FF73A6">
      <w:pPr>
        <w:spacing w:after="264" w:line="276" w:lineRule="auto"/>
        <w:ind w:left="0" w:right="14"/>
        <w:rPr>
          <w:sz w:val="22"/>
        </w:rPr>
      </w:pPr>
      <w:r w:rsidRPr="00135412">
        <w:rPr>
          <w:sz w:val="22"/>
        </w:rPr>
        <w:t>3. Roczne sprawozdanie finansowe podlega zatwierdzeniu przez walne zgromadzenie członków lub walne zgromadzenie delegatów.</w:t>
      </w:r>
    </w:p>
    <w:p w14:paraId="12578A83" w14:textId="77777777" w:rsidR="00575146" w:rsidRPr="00FF73A6" w:rsidRDefault="00575146" w:rsidP="00575146">
      <w:pPr>
        <w:spacing w:after="0" w:line="276" w:lineRule="auto"/>
        <w:ind w:left="24" w:right="38" w:hanging="10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Rozdział II</w:t>
      </w:r>
    </w:p>
    <w:p w14:paraId="43696F93" w14:textId="77777777" w:rsidR="00575146" w:rsidRPr="00FF73A6" w:rsidRDefault="00575146" w:rsidP="00FF73A6">
      <w:pPr>
        <w:spacing w:after="0" w:line="276" w:lineRule="auto"/>
        <w:ind w:left="24" w:right="43" w:hanging="10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Metody i terminy inwentaryzowania składników majątkowych</w:t>
      </w:r>
    </w:p>
    <w:p w14:paraId="3EEA25C8" w14:textId="77777777" w:rsidR="00575146" w:rsidRPr="00135412" w:rsidRDefault="00575146" w:rsidP="00FF73A6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>Sposoby i terminy przeprowadzania inwentaryzacji oraz zasady jej dokumentowania i rozliczania różnic inwentaryzacyjnych dokonywane są zgodnie z art.26 i 27 ustawy o rachunkowości.</w:t>
      </w:r>
    </w:p>
    <w:p w14:paraId="37B83928" w14:textId="77777777" w:rsidR="00575146" w:rsidRPr="00135412" w:rsidRDefault="00575146" w:rsidP="00575146">
      <w:pPr>
        <w:spacing w:after="132" w:line="276" w:lineRule="auto"/>
        <w:ind w:left="0" w:right="0"/>
        <w:rPr>
          <w:sz w:val="22"/>
        </w:rPr>
      </w:pPr>
      <w:r w:rsidRPr="00135412">
        <w:rPr>
          <w:sz w:val="22"/>
        </w:rPr>
        <w:t>Wyróżnia się następujące formy inwentaryzacji:</w:t>
      </w:r>
    </w:p>
    <w:p w14:paraId="317582A8" w14:textId="77777777" w:rsidR="00575146" w:rsidRPr="00135412" w:rsidRDefault="00575146" w:rsidP="00575146">
      <w:pPr>
        <w:spacing w:line="276" w:lineRule="auto"/>
        <w:ind w:left="331" w:right="14" w:hanging="254"/>
        <w:rPr>
          <w:sz w:val="22"/>
        </w:rPr>
      </w:pPr>
      <w:r w:rsidRPr="00135412">
        <w:rPr>
          <w:sz w:val="22"/>
        </w:rPr>
        <w:t xml:space="preserve">l. uzgodnienie z bankami wysokość aktywów drogą potwierdzenia zgodności ich stanu wykazywanego w księgach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oraz wyjaśnienie i rozliczenie ewentualnych różnic,</w:t>
      </w:r>
    </w:p>
    <w:p w14:paraId="042239AE" w14:textId="77777777" w:rsidR="00575146" w:rsidRPr="00135412" w:rsidRDefault="00575146" w:rsidP="00575146">
      <w:pPr>
        <w:spacing w:after="265" w:line="276" w:lineRule="auto"/>
        <w:ind w:left="292" w:right="14" w:hanging="278"/>
        <w:rPr>
          <w:sz w:val="22"/>
        </w:rPr>
      </w:pPr>
      <w:r w:rsidRPr="00135412">
        <w:rPr>
          <w:sz w:val="22"/>
        </w:rPr>
        <w:t xml:space="preserve">2. porównanie danych zapisanych w księgach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z odpowiednimi dokumentami i weryfikacja realnej wartości tych składników.</w:t>
      </w:r>
    </w:p>
    <w:p w14:paraId="300B891A" w14:textId="77777777" w:rsidR="00575146" w:rsidRPr="00135412" w:rsidRDefault="00575146" w:rsidP="00575146">
      <w:pPr>
        <w:spacing w:after="529" w:line="276" w:lineRule="auto"/>
        <w:ind w:left="14" w:right="14"/>
        <w:rPr>
          <w:sz w:val="22"/>
        </w:rPr>
      </w:pPr>
      <w:r w:rsidRPr="00135412">
        <w:rPr>
          <w:sz w:val="22"/>
        </w:rPr>
        <w:lastRenderedPageBreak/>
        <w:t xml:space="preserve">Fundusz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inwentaryzuje się, weryfikując zmiany ich stanu (zwiększenia albo zmniejszenia) w minionym roku w świetle obowiązujących przepisów.</w:t>
      </w:r>
    </w:p>
    <w:p w14:paraId="45976976" w14:textId="77777777" w:rsidR="00575146" w:rsidRPr="00135412" w:rsidRDefault="00575146" w:rsidP="00575146">
      <w:pPr>
        <w:spacing w:line="276" w:lineRule="auto"/>
        <w:ind w:left="14" w:right="14"/>
        <w:rPr>
          <w:sz w:val="22"/>
        </w:rPr>
      </w:pPr>
      <w:r w:rsidRPr="00135412">
        <w:rPr>
          <w:sz w:val="22"/>
        </w:rPr>
        <w:t>Ustala się, następujące terminy inwentaryzacji:</w:t>
      </w:r>
    </w:p>
    <w:p w14:paraId="5CB5A47D" w14:textId="77777777" w:rsidR="00575146" w:rsidRPr="00135412" w:rsidRDefault="00575146" w:rsidP="00575146">
      <w:pPr>
        <w:spacing w:line="276" w:lineRule="auto"/>
        <w:ind w:left="14" w:right="14"/>
        <w:rPr>
          <w:sz w:val="22"/>
        </w:rPr>
      </w:pPr>
      <w:r w:rsidRPr="00135412">
        <w:rPr>
          <w:sz w:val="22"/>
        </w:rPr>
        <w:t>l. na dzień bilansowy każdego roku:</w:t>
      </w:r>
    </w:p>
    <w:p w14:paraId="3F743A55" w14:textId="77777777" w:rsidR="00575146" w:rsidRPr="00135412" w:rsidRDefault="00575146" w:rsidP="00575146">
      <w:pPr>
        <w:numPr>
          <w:ilvl w:val="0"/>
          <w:numId w:val="1"/>
        </w:numPr>
        <w:spacing w:after="3" w:line="276" w:lineRule="auto"/>
        <w:ind w:right="7" w:hanging="283"/>
        <w:rPr>
          <w:sz w:val="22"/>
        </w:rPr>
      </w:pPr>
      <w:r w:rsidRPr="00135412">
        <w:rPr>
          <w:sz w:val="22"/>
        </w:rPr>
        <w:t>aktywów finansowych zgromadzonych na rachunku bankowym - droga potwierdzenia salda;</w:t>
      </w:r>
    </w:p>
    <w:p w14:paraId="68EEB06F" w14:textId="77777777" w:rsidR="00575146" w:rsidRPr="00135412" w:rsidRDefault="00575146" w:rsidP="00FF73A6">
      <w:pPr>
        <w:numPr>
          <w:ilvl w:val="0"/>
          <w:numId w:val="1"/>
        </w:numPr>
        <w:spacing w:after="0" w:line="276" w:lineRule="auto"/>
        <w:ind w:right="7" w:hanging="283"/>
        <w:rPr>
          <w:sz w:val="22"/>
        </w:rPr>
      </w:pPr>
      <w:r w:rsidRPr="00135412">
        <w:rPr>
          <w:sz w:val="22"/>
        </w:rPr>
        <w:t>należności i zobowiązań wobec osób nieprowadzących ksiąg rachunkowych drogą potwierdzenia danych ksiąg rachunkowych z odpowiednimi dokumentami i weryfikacji wartości tych składników.</w:t>
      </w:r>
    </w:p>
    <w:p w14:paraId="1C3B95D9" w14:textId="77777777" w:rsidR="00FF73A6" w:rsidRDefault="00575146" w:rsidP="00FF73A6">
      <w:pPr>
        <w:spacing w:before="240" w:after="0" w:line="276" w:lineRule="auto"/>
        <w:ind w:left="0" w:right="7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Rozdział III</w:t>
      </w:r>
    </w:p>
    <w:p w14:paraId="43637815" w14:textId="3F0E2203" w:rsidR="00575146" w:rsidRPr="00FF73A6" w:rsidRDefault="00575146" w:rsidP="00FF73A6">
      <w:pPr>
        <w:spacing w:after="275" w:line="276" w:lineRule="auto"/>
        <w:ind w:left="0" w:right="7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Uwagi końcowe</w:t>
      </w:r>
    </w:p>
    <w:p w14:paraId="064AC326" w14:textId="1736D41F" w:rsidR="008B1C14" w:rsidRDefault="00575146" w:rsidP="00FF73A6">
      <w:pPr>
        <w:spacing w:before="240" w:after="1029" w:line="276" w:lineRule="auto"/>
        <w:ind w:left="14" w:right="14"/>
      </w:pPr>
      <w:r w:rsidRPr="00135412">
        <w:rPr>
          <w:sz w:val="22"/>
        </w:rPr>
        <w:t>Środki pieniężne gromadzone są i wydatkowane poprzez rachunek bankowy w Banku Spółdzielczym w Węgorzewie, nr konta 79 9348 0000 0260 0853 2000 0010.</w:t>
      </w:r>
    </w:p>
    <w:sectPr w:rsidR="008B1C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2831" w14:textId="77777777" w:rsidR="00FF73A6" w:rsidRDefault="00FF73A6" w:rsidP="00FF73A6">
      <w:pPr>
        <w:spacing w:after="0" w:line="240" w:lineRule="auto"/>
      </w:pPr>
      <w:r>
        <w:separator/>
      </w:r>
    </w:p>
  </w:endnote>
  <w:endnote w:type="continuationSeparator" w:id="0">
    <w:p w14:paraId="4FBA3ED6" w14:textId="77777777" w:rsidR="00FF73A6" w:rsidRDefault="00FF73A6" w:rsidP="00FF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668539"/>
      <w:docPartObj>
        <w:docPartGallery w:val="Page Numbers (Bottom of Page)"/>
        <w:docPartUnique/>
      </w:docPartObj>
    </w:sdtPr>
    <w:sdtContent>
      <w:p w14:paraId="282FCAEA" w14:textId="18FDD819" w:rsidR="00FF73A6" w:rsidRDefault="00FF73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C7EA6" w14:textId="77777777" w:rsidR="00FF73A6" w:rsidRDefault="00FF7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11B0" w14:textId="77777777" w:rsidR="00FF73A6" w:rsidRDefault="00FF73A6" w:rsidP="00FF73A6">
      <w:pPr>
        <w:spacing w:after="0" w:line="240" w:lineRule="auto"/>
      </w:pPr>
      <w:r>
        <w:separator/>
      </w:r>
    </w:p>
  </w:footnote>
  <w:footnote w:type="continuationSeparator" w:id="0">
    <w:p w14:paraId="70C34B41" w14:textId="77777777" w:rsidR="00FF73A6" w:rsidRDefault="00FF73A6" w:rsidP="00FF7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1EC"/>
    <w:multiLevelType w:val="hybridMultilevel"/>
    <w:tmpl w:val="5A8E71EC"/>
    <w:lvl w:ilvl="0" w:tplc="DD70955E">
      <w:start w:val="1"/>
      <w:numFmt w:val="lowerLetter"/>
      <w:lvlText w:val="%1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04E5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C9D4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2F90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22DB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C037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2E1E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F15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C158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79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A2"/>
    <w:rsid w:val="002C48A2"/>
    <w:rsid w:val="00575146"/>
    <w:rsid w:val="008B1C14"/>
    <w:rsid w:val="008D68D5"/>
    <w:rsid w:val="00C0777D"/>
    <w:rsid w:val="00CC04E8"/>
    <w:rsid w:val="00D94F1C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8683"/>
  <w15:chartTrackingRefBased/>
  <w15:docId w15:val="{DC7618A2-635D-4DF8-ADB7-3D8F1A0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146"/>
    <w:pPr>
      <w:spacing w:after="6" w:line="249" w:lineRule="auto"/>
      <w:ind w:left="317" w:right="77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4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8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8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8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8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8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8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8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8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8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48A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8A2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8A2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8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8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8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8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C4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8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8A2"/>
    <w:pPr>
      <w:numPr>
        <w:ilvl w:val="1"/>
      </w:numPr>
      <w:ind w:left="31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8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2C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8A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2C48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8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8A2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2C48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3A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3A6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dcterms:created xsi:type="dcterms:W3CDTF">2025-03-05T07:33:00Z</dcterms:created>
  <dcterms:modified xsi:type="dcterms:W3CDTF">2025-03-05T07:49:00Z</dcterms:modified>
</cp:coreProperties>
</file>